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5" w:rsidRDefault="005F20C5" w:rsidP="005F20C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proofErr w:type="gramStart"/>
      <w:r>
        <w:rPr>
          <w:rFonts w:ascii="inherit" w:hAnsi="inherit" w:cs="Arial"/>
          <w:color w:val="000000"/>
          <w:sz w:val="35"/>
          <w:szCs w:val="35"/>
        </w:rPr>
        <w:t>C</w:t>
      </w:r>
      <w:proofErr w:type="gramEnd"/>
      <w:r>
        <w:rPr>
          <w:rFonts w:ascii="inherit" w:hAnsi="inherit" w:cs="Arial"/>
          <w:color w:val="000000"/>
          <w:sz w:val="35"/>
          <w:szCs w:val="35"/>
        </w:rPr>
        <w:t>НИЛС для иностранцев</w:t>
      </w:r>
    </w:p>
    <w:p w:rsidR="005F20C5" w:rsidRDefault="005F20C5" w:rsidP="005F20C5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</w:p>
    <w:p w:rsidR="005F20C5" w:rsidRDefault="005F20C5" w:rsidP="005F20C5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5F20C5" w:rsidRDefault="005F20C5" w:rsidP="005F20C5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документа,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для постоянно проживающих в РФ</w:t>
      </w:r>
      <w:r>
        <w:rPr>
          <w:rFonts w:ascii="inherit" w:hAnsi="inherit" w:cs="Arial"/>
          <w:color w:val="000000"/>
          <w:sz w:val="22"/>
          <w:szCs w:val="22"/>
        </w:rPr>
        <w:t> иностранных граждан и лиц без гражданства необходим вид на жительство.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Для временно проживающих в РФ иностранных граждан и лиц без гражданства </w:t>
      </w:r>
      <w:r>
        <w:rPr>
          <w:rFonts w:ascii="inherit" w:hAnsi="inherit" w:cs="Arial"/>
          <w:color w:val="000000"/>
          <w:sz w:val="22"/>
          <w:szCs w:val="22"/>
        </w:rPr>
        <w:t>– разрешение на временное проживание.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Для временно пребывающих в</w:t>
      </w:r>
      <w:r>
        <w:rPr>
          <w:rFonts w:ascii="inherit" w:hAnsi="inherit" w:cs="Arial"/>
          <w:color w:val="000000"/>
          <w:sz w:val="22"/>
          <w:szCs w:val="22"/>
        </w:rPr>
        <w:t>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РФ иностранных граждан </w:t>
      </w:r>
      <w:r>
        <w:rPr>
          <w:rFonts w:ascii="inherit" w:hAnsi="inherit" w:cs="Arial"/>
          <w:color w:val="000000"/>
          <w:sz w:val="22"/>
          <w:szCs w:val="22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5F20C5" w:rsidRDefault="005F20C5" w:rsidP="005F20C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F03BB7" w:rsidRPr="0042199D" w:rsidRDefault="00F03BB7" w:rsidP="0031224E">
      <w:pPr>
        <w:jc w:val="right"/>
      </w:pPr>
    </w:p>
    <w:p w:rsidR="00921D94" w:rsidRPr="0031224E" w:rsidRDefault="0031224E" w:rsidP="0031224E">
      <w:pPr>
        <w:jc w:val="right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31224E"/>
    <w:rsid w:val="00361084"/>
    <w:rsid w:val="003C10D4"/>
    <w:rsid w:val="0042199D"/>
    <w:rsid w:val="005F20C5"/>
    <w:rsid w:val="00921D94"/>
    <w:rsid w:val="00F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2018-04-27T08:18:00Z</dcterms:created>
  <dcterms:modified xsi:type="dcterms:W3CDTF">2018-04-27T08:18:00Z</dcterms:modified>
</cp:coreProperties>
</file>